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E64" w14:textId="466373E0" w:rsidR="009A1B2B" w:rsidRPr="0035101E" w:rsidRDefault="009A1B2B" w:rsidP="0035101E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35101E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B43C17" w:rsidRPr="0035101E">
        <w:rPr>
          <w:rFonts w:ascii="Arial" w:eastAsia="Times New Roman" w:hAnsi="Arial" w:cs="Arial"/>
          <w:sz w:val="24"/>
          <w:szCs w:val="24"/>
          <w:lang w:eastAsia="pl-PL"/>
        </w:rPr>
        <w:t xml:space="preserve"> XVII/48/2025</w:t>
      </w:r>
      <w:r w:rsidR="00EF554D" w:rsidRPr="0035101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35101E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EF554D" w:rsidRPr="003510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101E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B43C17" w:rsidRPr="0035101E">
        <w:rPr>
          <w:rFonts w:ascii="Arial" w:eastAsia="Times New Roman" w:hAnsi="Arial" w:cs="Arial"/>
          <w:sz w:val="24"/>
          <w:szCs w:val="24"/>
          <w:lang w:eastAsia="pl-PL"/>
        </w:rPr>
        <w:t>29 kwietnia 2025 r.</w:t>
      </w:r>
    </w:p>
    <w:p w14:paraId="7B3A0F5A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6BE567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2B26A26B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</w:t>
      </w:r>
      <w:bookmarkStart w:id="0" w:name="_Hlk196224342"/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skargi </w:t>
      </w:r>
      <w:bookmarkStart w:id="1" w:name="_Hlk110938707"/>
      <w:r w:rsidR="00354252" w:rsidRPr="00EF554D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9E67E5" w:rsidRPr="00EF554D">
        <w:rPr>
          <w:rFonts w:ascii="Arial" w:eastAsia="Times New Roman" w:hAnsi="Arial" w:cs="Arial"/>
          <w:sz w:val="24"/>
          <w:szCs w:val="24"/>
          <w:lang w:eastAsia="pl-PL"/>
        </w:rPr>
        <w:t>a J</w:t>
      </w:r>
      <w:r w:rsidR="0035101E">
        <w:rPr>
          <w:rFonts w:ascii="Arial" w:eastAsia="Times New Roman" w:hAnsi="Arial" w:cs="Arial"/>
          <w:sz w:val="24"/>
          <w:szCs w:val="24"/>
          <w:lang w:eastAsia="pl-PL"/>
        </w:rPr>
        <w:t xml:space="preserve">. S.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na działalność </w:t>
      </w:r>
      <w:bookmarkStart w:id="2" w:name="_Hlk122600155"/>
      <w:r w:rsidR="009E67E5" w:rsidRPr="00EF554D">
        <w:rPr>
          <w:rFonts w:ascii="Arial" w:eastAsia="Times New Roman" w:hAnsi="Arial" w:cs="Arial"/>
          <w:sz w:val="24"/>
          <w:szCs w:val="24"/>
          <w:lang w:eastAsia="pl-PL"/>
        </w:rPr>
        <w:t>Prezydenta Miasta Włocławek</w:t>
      </w:r>
    </w:p>
    <w:bookmarkEnd w:id="1"/>
    <w:bookmarkEnd w:id="2"/>
    <w:bookmarkEnd w:id="0"/>
    <w:p w14:paraId="257E2968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5738DEEE" w:rsidR="009A1B2B" w:rsidRPr="00EF554D" w:rsidRDefault="009A1B2B" w:rsidP="00EF554D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 ust. 2 pkt 15 ustawy z dnia 8 marca 1990 r</w:t>
      </w:r>
      <w:r w:rsidR="00EE5F65" w:rsidRPr="00EF55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EF554D">
        <w:rPr>
          <w:rFonts w:ascii="Arial" w:hAnsi="Arial" w:cs="Arial"/>
          <w:sz w:val="24"/>
          <w:szCs w:val="24"/>
        </w:rPr>
        <w:t>(Dz.</w:t>
      </w:r>
      <w:r w:rsidR="005F5050" w:rsidRP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U. z 202</w:t>
      </w:r>
      <w:r w:rsidR="00876914" w:rsidRPr="00EF554D">
        <w:rPr>
          <w:rFonts w:ascii="Arial" w:hAnsi="Arial" w:cs="Arial"/>
          <w:sz w:val="24"/>
          <w:szCs w:val="24"/>
        </w:rPr>
        <w:t>4</w:t>
      </w:r>
      <w:r w:rsidRPr="00EF554D">
        <w:rPr>
          <w:rFonts w:ascii="Arial" w:hAnsi="Arial" w:cs="Arial"/>
          <w:sz w:val="24"/>
          <w:szCs w:val="24"/>
        </w:rPr>
        <w:t xml:space="preserve"> r. poz. </w:t>
      </w:r>
      <w:r w:rsidR="006F027F" w:rsidRPr="00EF554D">
        <w:rPr>
          <w:rFonts w:ascii="Arial" w:hAnsi="Arial" w:cs="Arial"/>
          <w:sz w:val="24"/>
          <w:szCs w:val="24"/>
        </w:rPr>
        <w:t>1465, 1572</w:t>
      </w:r>
      <w:r w:rsidR="00354252" w:rsidRPr="00EF554D">
        <w:rPr>
          <w:rFonts w:ascii="Arial" w:hAnsi="Arial" w:cs="Arial"/>
          <w:sz w:val="24"/>
          <w:szCs w:val="24"/>
        </w:rPr>
        <w:t xml:space="preserve">, </w:t>
      </w:r>
      <w:r w:rsidR="00761803" w:rsidRPr="00EF554D">
        <w:rPr>
          <w:rFonts w:ascii="Arial" w:hAnsi="Arial" w:cs="Arial"/>
          <w:sz w:val="24"/>
          <w:szCs w:val="24"/>
        </w:rPr>
        <w:t>1907, 1940</w:t>
      </w:r>
      <w:r w:rsidRPr="00EF554D">
        <w:rPr>
          <w:rFonts w:ascii="Arial" w:hAnsi="Arial" w:cs="Arial"/>
          <w:sz w:val="24"/>
          <w:szCs w:val="24"/>
        </w:rPr>
        <w:t>)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EF554D">
        <w:rPr>
          <w:rFonts w:ascii="Arial" w:hAnsi="Arial" w:cs="Arial"/>
          <w:sz w:val="24"/>
          <w:szCs w:val="24"/>
        </w:rPr>
        <w:t>(</w:t>
      </w:r>
      <w:r w:rsidRPr="00EF554D">
        <w:rPr>
          <w:rFonts w:ascii="Arial" w:eastAsia="Calibri" w:hAnsi="Arial" w:cs="Arial"/>
          <w:sz w:val="24"/>
          <w:szCs w:val="24"/>
        </w:rPr>
        <w:t>Dz. U. z 202</w:t>
      </w:r>
      <w:r w:rsidR="00876914" w:rsidRPr="00EF554D">
        <w:rPr>
          <w:rFonts w:ascii="Arial" w:eastAsia="Calibri" w:hAnsi="Arial" w:cs="Arial"/>
          <w:sz w:val="24"/>
          <w:szCs w:val="24"/>
        </w:rPr>
        <w:t>4</w:t>
      </w:r>
      <w:r w:rsidRPr="00EF554D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EF554D">
        <w:rPr>
          <w:rFonts w:ascii="Arial" w:eastAsia="Calibri" w:hAnsi="Arial" w:cs="Arial"/>
          <w:sz w:val="24"/>
          <w:szCs w:val="24"/>
        </w:rPr>
        <w:t>572</w:t>
      </w:r>
      <w:r w:rsidRPr="00EF554D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F3CA" w14:textId="35E2E0E0" w:rsidR="009A1B2B" w:rsidRPr="00EF554D" w:rsidRDefault="009A1B2B" w:rsidP="0035101E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Uznać skargę </w:t>
      </w:r>
      <w:r w:rsidR="00110415" w:rsidRPr="00EF554D">
        <w:rPr>
          <w:rFonts w:ascii="Arial" w:eastAsia="Times New Roman" w:hAnsi="Arial" w:cs="Arial"/>
          <w:sz w:val="24"/>
          <w:szCs w:val="24"/>
          <w:lang w:eastAsia="pl-PL"/>
        </w:rPr>
        <w:t>Pana J</w:t>
      </w:r>
      <w:r w:rsidR="0035101E">
        <w:rPr>
          <w:rFonts w:ascii="Arial" w:eastAsia="Times New Roman" w:hAnsi="Arial" w:cs="Arial"/>
          <w:sz w:val="24"/>
          <w:szCs w:val="24"/>
          <w:lang w:eastAsia="pl-PL"/>
        </w:rPr>
        <w:t xml:space="preserve">.S. </w:t>
      </w:r>
      <w:r w:rsidR="00110415" w:rsidRPr="00EF554D">
        <w:rPr>
          <w:rFonts w:ascii="Arial" w:eastAsia="Times New Roman" w:hAnsi="Arial" w:cs="Arial"/>
          <w:sz w:val="24"/>
          <w:szCs w:val="24"/>
          <w:lang w:eastAsia="pl-PL"/>
        </w:rPr>
        <w:t>na działalność Prezydenta Miasta Włocławek</w:t>
      </w:r>
      <w:r w:rsidR="00843498"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6231B7" w:rsidRPr="00EF554D">
        <w:rPr>
          <w:rFonts w:ascii="Arial" w:eastAsia="Times New Roman" w:hAnsi="Arial" w:cs="Arial"/>
          <w:sz w:val="24"/>
          <w:szCs w:val="24"/>
          <w:lang w:eastAsia="pl-PL"/>
        </w:rPr>
        <w:t>bez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>zasadną z przyczyn określonych w uzasadnieniu uchwały.</w:t>
      </w:r>
      <w:r w:rsidR="003510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5B5E6E" w14:textId="693A1926" w:rsidR="006231B7" w:rsidRPr="00EF554D" w:rsidRDefault="009A1B2B" w:rsidP="00EF554D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231B7" w:rsidRPr="00EF554D">
        <w:rPr>
          <w:rFonts w:ascii="Arial" w:eastAsia="Times New Roman" w:hAnsi="Arial" w:cs="Arial"/>
          <w:sz w:val="24"/>
          <w:szCs w:val="24"/>
          <w:lang w:eastAsia="pl-PL"/>
        </w:rPr>
        <w:t>Zobowiązać Przewodniczącą Rady Miasta Włocławek do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1B7" w:rsidRPr="00EF554D">
        <w:rPr>
          <w:rFonts w:ascii="Arial" w:eastAsia="Times New Roman" w:hAnsi="Arial" w:cs="Arial"/>
          <w:sz w:val="24"/>
          <w:szCs w:val="24"/>
          <w:lang w:eastAsia="pl-PL"/>
        </w:rPr>
        <w:t>udzielenia odpowiedzi stronie skarżącej</w:t>
      </w:r>
      <w:r w:rsidR="00EF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1B7" w:rsidRPr="00EF554D">
        <w:rPr>
          <w:rFonts w:ascii="Arial" w:eastAsia="Times New Roman" w:hAnsi="Arial" w:cs="Arial"/>
          <w:sz w:val="24"/>
          <w:szCs w:val="24"/>
          <w:lang w:eastAsia="pl-PL"/>
        </w:rPr>
        <w:t xml:space="preserve">i przekazania treści uchwały wraz z uzasadnieniem oraz pouczeniem o treści art. 239 kpa. </w:t>
      </w:r>
    </w:p>
    <w:p w14:paraId="0CCA96BB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53E9A" w14:textId="292230CA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EF554D" w:rsidRDefault="009A1B2B" w:rsidP="00EF55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37575" w14:textId="3ADDC838" w:rsidR="009A1B2B" w:rsidRPr="00EF554D" w:rsidRDefault="009A1B2B" w:rsidP="00EF554D">
      <w:pPr>
        <w:spacing w:after="0" w:line="276" w:lineRule="auto"/>
        <w:ind w:left="1416" w:hanging="71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6A3D6336" w:rsidR="0035101E" w:rsidRDefault="009A1B2B" w:rsidP="0035101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554D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B24EF7" w:rsidRPr="00EF554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510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554D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3510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4EF7" w:rsidRPr="00EF554D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5013EEC0" w14:textId="77777777" w:rsidR="0035101E" w:rsidRDefault="0035101E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4FA232C" w14:textId="27BB1750" w:rsidR="009E67E5" w:rsidRPr="0035101E" w:rsidRDefault="009E67E5" w:rsidP="0035101E">
      <w:pPr>
        <w:pStyle w:val="Nagwek2"/>
        <w:rPr>
          <w:rFonts w:ascii="Arial" w:hAnsi="Arial" w:cs="Arial"/>
          <w:sz w:val="24"/>
          <w:szCs w:val="24"/>
        </w:rPr>
      </w:pPr>
      <w:r w:rsidRPr="0035101E">
        <w:rPr>
          <w:rFonts w:ascii="Arial" w:hAnsi="Arial" w:cs="Arial"/>
          <w:sz w:val="24"/>
          <w:szCs w:val="24"/>
        </w:rPr>
        <w:lastRenderedPageBreak/>
        <w:t>UZASADNIENIE</w:t>
      </w:r>
    </w:p>
    <w:p w14:paraId="6B2435EF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Podczas obrad w dniu 17 kwietnia 2025 roku, Komisja Skarg, Wniosków i Petycji rozpatrzyła skargę złożoną przez Pana J.S. na bezczynność Prezydenta Miasta Włocławek przekazaną do Rady Miasta Włocławek zgodnie z właściwością przez Samorządowe Kolegium Odwoławcze we Włocławku.</w:t>
      </w:r>
    </w:p>
    <w:p w14:paraId="673601B1" w14:textId="5099CA1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Strona skarżąca zarzuca Prezydentowi Miasta Włocławek bezczynność w sprawie unieważnienia przetargu na dzierżawę działki, a także bezpodstawne naliczanie opłat za bezumowne korzystanie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 xml:space="preserve">z działki. </w:t>
      </w:r>
    </w:p>
    <w:p w14:paraId="1DEBC47C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Komisja Skarg, Wniosków i Petycji zapoznała się z dokumentacją skargową, zawierającą wyjaśnienia Prezydenta znak: GMK.N.1510.4.2025 i ustaliła co następuje:</w:t>
      </w:r>
    </w:p>
    <w:p w14:paraId="78DD9313" w14:textId="6A20F842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Pismem znak GMK.N.6845.2.2023 z dnia 13 kwietnia 2023 r. Pan J. S. został poinformowany, że w dniu 31 marca 2023 r. zakończyła się umowa dzierżawy zawarta na okres 3 lat, terenu położonego przy ul. Toruńskiej, oznaczonego ewidencyjnie jako działka nr 44/2 (Włocławek KM 29) z przeznaczeniem jako teren zabezpieczający funkcjonowanie garażu. Celem uregulowania korzystania z nieruchomości, stanowiącej własność Gminy Miasto Włocławek, w dniu 08 lipca 2024 r. wpłynął wniosek Pana J. S.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o przygotowanie kolejnej umowy na korzystanie z działki oraz uczestnictwo w przetargu na dzierżawę gruntu. Sprawie został nadany bieg, zgodnie z procedurą wydzierżawiania nieruchomości. Dzierżawa nieruchomości stanowi formę obrotu nieruchomościami gminnymi objętą szczególnym reżimem prawnym ustawy o gospodarce nieruchomościami, między innymi jej regulacje dotyczą sytuacji, gdy nieruchomość ma być wydzierżawiona długoterminowo, tj. na czas oznaczony dłuższy niż 3 lata lub na czas nieoznaczony, a także w przypadku, gdy po umowie zawartej na czas oznaczony do 3 lat strony zawierają kolejne umowy, których przedmiotem jest ta sama nieruchomość. Przeznaczeniu nieruchomości gminnych pod dzierżawę poświęcony jest art. 37 ust 4 ustawy o gospodarce nieruchomościami (Dz.U.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z 2024 poz. 1145 ze zm.), zgodnie z którym zawarcie umowy dzierżawy nieruchomości gminnej na czas oznaczony dłuższy niż 3 lata lub na czas nieoznaczony następuje w drodze przetargu. Przepis ten ustanawia zatem zasadę, zgodnie z którą zawarcie umowy musi być poprzedzone przetargiem. W związku z powyższym, procedura wydzierżawienia przedmiotowej nieruchomości na okres kolejnych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3 lat (wcześniejsza umowa była zawarta na 3 lata), prowadzona była w drodze przetargu ustnego. W dniu 10 września 2024 r. podano do publicznej wiadomości poprzez ogłoszenie w prasie, na stronie internetowej Urzędu oraz na tablicy ogłoszeń informację o przetargu, zgodnie z § 6.1 Rozporządzenia Rady Ministrów w sprawie sposobu i trybu przeprowadzenia przetargów oraz rokowań na zbycie nieruchomości. Pismem znak GMK.N.6845.98.2024 z dnia 05 września 2024 r. Pan J. S. został poinformowany o terminie przetargu oraz o warunkach jakie trzeba spełnić, aby przystąpić do przetargu.</w:t>
      </w:r>
    </w:p>
    <w:p w14:paraId="67602B6C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 xml:space="preserve">Warunkiem uczestnictwa w przetargu było m.in. wpłacenie wadium, okazanie dowodu wpłaty wadium, złożenie osobiście w Wydziale Gospodarowania Mieniem </w:t>
      </w:r>
      <w:r w:rsidRPr="00EF554D">
        <w:rPr>
          <w:rFonts w:ascii="Arial" w:hAnsi="Arial" w:cs="Arial"/>
          <w:sz w:val="24"/>
          <w:szCs w:val="24"/>
        </w:rPr>
        <w:lastRenderedPageBreak/>
        <w:t>Komunalnym przez osoby przystępujące do przetargu, pisemnego oświadczenia na druku urzędowym, że zapoznały się ze stanem faktycznym i prawnym nieruchomości, objętej przetargiem, na gruncie i nie wnoszą żadnych zastrzeżeń. Komisja przetargowa stwierdziła, że:</w:t>
      </w:r>
    </w:p>
    <w:p w14:paraId="6F6EC13F" w14:textId="500D7FA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-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wpłynęło 1 wadium,</w:t>
      </w:r>
    </w:p>
    <w:p w14:paraId="06F88720" w14:textId="2BE7C592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- osoba, która wpłaciła wadium nie spełniła warunków uczestnictwa w przetargu, tj. złożyła wadliwe oświadczenie na druku urzędowym, że zapoznała się ze stanem faktycznym i prawnym nieruchomości objętej przetargiem, na gruncie (w terenie) i nie wnosi żadnych zastrzeżeń. Oświadczenie, z</w:t>
      </w:r>
      <w:r w:rsidR="002A43D1" w:rsidRPr="00EF554D">
        <w:rPr>
          <w:rFonts w:ascii="Arial" w:hAnsi="Arial" w:cs="Arial"/>
          <w:sz w:val="24"/>
          <w:szCs w:val="24"/>
        </w:rPr>
        <w:t>a</w:t>
      </w:r>
      <w:r w:rsidRPr="00EF554D">
        <w:rPr>
          <w:rFonts w:ascii="Arial" w:hAnsi="Arial" w:cs="Arial"/>
          <w:sz w:val="24"/>
          <w:szCs w:val="24"/>
        </w:rPr>
        <w:t>wierało braki formalne, z uwagi na brak złożenia w wyznaczonym miejscu podpisu na oświadczeniu.</w:t>
      </w:r>
    </w:p>
    <w:p w14:paraId="07648635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Z uwagi na powyższe, przetarg ogłoszony na dzień 16 października 2024 r. nie odbył się.</w:t>
      </w:r>
    </w:p>
    <w:p w14:paraId="367D5FD8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 xml:space="preserve">Warto zauważyć, że art. 25 ust.1 ustawy o gospodarce nieruchomościami (Dz. U. z 2024 r., poz. 1145 ze zm.) uprawnia wójta, burmistrza lub prezydenta miasta do gospodarowania gminnym zasobem nieruchomościami. Pod pojęciem „gospodarowania mieniem komunalnym” należy rozumieć ogół czynności faktycznych i prawnych, które będą się składać na zarządzanie, dysponowanie i zajmowanie się mieniem w formach prawem dopuszczalnych. Jako jeden z przejawów gospodarowania mieniem komunalnym można uznać zawieranie umów dotyczących tego mienia, np. użyczanie czy też wydzierżawianie. Unormowania ustawy o gospodarce nieruchomościami w zakresie dotyczącym obrotu nieruchomościami jednostek samorządu terytorialnego regulują czynności cywilnoprawne w sposób szczególny w stosunku do ogólnych zasad określonych w Kodeksie Cywilnym. W zakresie stosunków majątkowych, w tym również związanych z gospodarowaniem mieniem, gmina występuje jako podmiot cywilnoprawny. Działania organów gminy, w tym wypadku, choć opierają się na realizacji prawa miejscowego i wpływają na indywidualną sytuację </w:t>
      </w:r>
      <w:proofErr w:type="spellStart"/>
      <w:r w:rsidRPr="00EF554D">
        <w:rPr>
          <w:rFonts w:ascii="Arial" w:hAnsi="Arial" w:cs="Arial"/>
          <w:sz w:val="24"/>
          <w:szCs w:val="24"/>
        </w:rPr>
        <w:t>prawno</w:t>
      </w:r>
      <w:proofErr w:type="spellEnd"/>
      <w:r w:rsidRPr="00EF554D">
        <w:rPr>
          <w:rFonts w:ascii="Arial" w:hAnsi="Arial" w:cs="Arial"/>
          <w:sz w:val="24"/>
          <w:szCs w:val="24"/>
        </w:rPr>
        <w:t xml:space="preserve"> – faktyczną mieszkańca gminy, to nie przybierają formy decyzji administracyjnej, ani postanowienia. Dzierżawa nieruchomości następuje w formie czynności prawnej właściwej prawu cywilnemu, a nie w formie władczego aktu administracyjnego wydawanego na podstawie przepisów ustawy z dnia 14 czerwca 1960 r. Kodeks postępowania administracyjnego. W konsekwencji sprawy dotyczące umów dzierżawy nieruchomości są sprawami cywilnoprawnymi.</w:t>
      </w:r>
    </w:p>
    <w:p w14:paraId="02D2AAFA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Biorąc pod uwagę powyższe uznać należy, iż zarzut Pana J.S. dotyczący bezczynności wydania decyzji administracyjnej nie zasługuje na uwzględnienie.</w:t>
      </w:r>
    </w:p>
    <w:p w14:paraId="66F5F390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Odnośnie opłat za bezumowne korzystanie z przedmiotowego terenu, co wskazuje w skardze strona skarżąca, ustalono, iż:</w:t>
      </w:r>
    </w:p>
    <w:p w14:paraId="048DC4BE" w14:textId="5F30B47C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 xml:space="preserve">Z tytułu bezumownego korzystania z nieruchomości, można żądać zapłaty wynagrodzenia. Regulują to przepisy Kodeksu Cywilnego. Przez bezumowne korzystanie rozumie się dysponowanie/dzierżenie danej nieruchomości bez tytułu </w:t>
      </w:r>
      <w:r w:rsidRPr="00EF554D">
        <w:rPr>
          <w:rFonts w:ascii="Arial" w:hAnsi="Arial" w:cs="Arial"/>
          <w:sz w:val="24"/>
          <w:szCs w:val="24"/>
        </w:rPr>
        <w:lastRenderedPageBreak/>
        <w:t>prawnego do niej. Wynika to m.in. z fakt</w:t>
      </w:r>
      <w:r w:rsidR="002A43D1" w:rsidRPr="00EF554D">
        <w:rPr>
          <w:rFonts w:ascii="Arial" w:hAnsi="Arial" w:cs="Arial"/>
          <w:sz w:val="24"/>
          <w:szCs w:val="24"/>
        </w:rPr>
        <w:t>u</w:t>
      </w:r>
      <w:r w:rsidRPr="00EF554D">
        <w:rPr>
          <w:rFonts w:ascii="Arial" w:hAnsi="Arial" w:cs="Arial"/>
          <w:sz w:val="24"/>
          <w:szCs w:val="24"/>
        </w:rPr>
        <w:t>, iż po wygaśnięciu umowy dzierżawy danej nieruchomości nie jest ona przedłużona przez strony, jednak grunt będący przedmiotem dzierżawy w dalszym ciągu jest użytkowany przez dotychczasowego dzierżawcę. Zgodnie z treścią art. 224 k.c.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i art. 225 k.c., właścicielowi przysługuje roszczenie o wynagrodzenie za korzystanie z jego rzeczy. Roszczenie o zapłatę wynagrodzenia za bezumowne korzystanie z nieruchomości nie jest uzależnione od winy bezumownego posiadania, lecz jedynie od jego złej wiary i opiera się na założeniu, że właściciel ma prawo do uzyskania od władającego w złej wierze jego rzeczą wynagrodzenia. Spełnione zostały przesłanki do wynagrodzenia z tytułu bezumownego korzystania z przedmiotowej nieruchomości, Pan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J. S. miał świadomość, że umowa wygasła i nie przysługuje mu tytuł prawny do przedmiotowej nieruchomości, a zatem pozostawał posiadaczem zależnym w złej wierze.</w:t>
      </w:r>
    </w:p>
    <w:p w14:paraId="4DC166F1" w14:textId="67CF3459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Mając na uwadze powyższe oraz z uwagi na brak spełnienia zapisów § 11 umowy dzierżawy nieruchomości, tj. złożenia przez dzierżawcę oświadczenia woli o przedłużeniu umowy dzierżawy na dalszy okres, dokonanego na piśmie w terminie trzech miesięcy przed dniem wygaśnięcia umowy oraz w związku z tym, że nadal Pan J. S. korzystał z ww. nieruchomości, jako teren zabezpieczający funkcjonowanie garażu usytuowanego na działce nr 156 (Włocławek KM 29) zobowiązany został do uiszczenia opłaty naliczonej w formie odszkodowania z tytułu bezumownego korzystania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z przedmiotowego terenu. Brak jest przepisu prawa materialnego, który dawałby podstawę prawną Prezydentowi do wydania decyzji administracyjnej w przedmiocie ustalenia wynagrodzenia za bezumowne korzystanie z gruntu stanowiącego własność Gminy. Podstawy takiej nie daje przepis art. 30 ust. 2 pkt 3 ustawy z dnia 8 marca 1990 r. o samorządzie gminnym (Dz. U. z 2024 r., poz. 1465 ze zm.) w zw. z art. 25 ustawy z dnia 21 sierpnia 1997 r. o gospodarce nieruchomościami ( Dz. U. z 2024 r., poz. 1145 ze zm.).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 xml:space="preserve">W myśl art. 30 ust. 2 pkt 3 ustawy o samorządzie gminnym, do zadań Prezydenta należy </w:t>
      </w:r>
    </w:p>
    <w:p w14:paraId="0F97150E" w14:textId="5556E4EC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w szczególności gospodarowanie mieniem komunalnym. Z przepisów nie wynika w żaden sposób, by ustalając wysokość wynagrodzenia za bezumowne korzystanie z gruntu stanowiącego własność Gminy, wójt, burmistrz albo prezydent miasta zobowiązany był do wydania decyzji administracyjnej. Również pozostałe przepisy ustawy o gospodarce nieruchomościami nie przewidują możliwości wydania decyzji administracyjnej w tym przedmiocie. Zasady ustalania wynagrodzenia za bezumowne korzystanie</w:t>
      </w:r>
      <w:r w:rsidR="00EF554D">
        <w:rPr>
          <w:rFonts w:ascii="Arial" w:hAnsi="Arial" w:cs="Arial"/>
          <w:sz w:val="24"/>
          <w:szCs w:val="24"/>
        </w:rPr>
        <w:t xml:space="preserve"> </w:t>
      </w:r>
      <w:r w:rsidRPr="00EF554D">
        <w:rPr>
          <w:rFonts w:ascii="Arial" w:hAnsi="Arial" w:cs="Arial"/>
          <w:sz w:val="24"/>
          <w:szCs w:val="24"/>
        </w:rPr>
        <w:t>z nieruchomości regulują przepisy Kodeksu cywilnego, a rozstrzyganie roszczeń wynikających z tych przepisów następuje w postępowaniu cywilnym, a nie w postępowaniu administracyjnym.</w:t>
      </w:r>
    </w:p>
    <w:p w14:paraId="320F63F9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W związku z tym niezasadne są również podniesione w skardze zarzuty naruszenia zasad postępowania dotyczących wydania decyzji administracyjnej w sprawie opłat za bezmowne korzystane z nieruchomości.</w:t>
      </w:r>
    </w:p>
    <w:p w14:paraId="137B0F8B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 xml:space="preserve">Zatem, po dokonaniu analizy zgromadzonego materiału skargowego, Komisja Skarg, Wniosków i Petycji stwierdziła, iż, nie ma dowodów, które mogłyby świadczyć o zasadności wniesionej skargi. </w:t>
      </w:r>
    </w:p>
    <w:p w14:paraId="730FF0EE" w14:textId="77777777" w:rsidR="009E67E5" w:rsidRPr="00EF554D" w:rsidRDefault="009E67E5" w:rsidP="00EF554D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lastRenderedPageBreak/>
        <w:t xml:space="preserve">Dodatkowo wskazuje się, iż tryb </w:t>
      </w:r>
      <w:proofErr w:type="spellStart"/>
      <w:r w:rsidRPr="00EF554D">
        <w:rPr>
          <w:rFonts w:ascii="Arial" w:hAnsi="Arial" w:cs="Arial"/>
          <w:sz w:val="24"/>
          <w:szCs w:val="24"/>
        </w:rPr>
        <w:t>ogólnoskargowy</w:t>
      </w:r>
      <w:proofErr w:type="spellEnd"/>
      <w:r w:rsidRPr="00EF554D">
        <w:rPr>
          <w:rFonts w:ascii="Arial" w:hAnsi="Arial" w:cs="Arial"/>
          <w:sz w:val="24"/>
          <w:szCs w:val="24"/>
        </w:rPr>
        <w:t xml:space="preserve"> jest samodzielnym, jednoinstancyjnym postępowaniem o charakterze uproszczonym, które kończy się czynnością materialno-techniczną, tj. zawiadomieniem o sposobie załatwienia skargi (por. postanowienie WSA w Gorzowie Wielkopolskim z 8.07.2009 r., II SA/Go 423/09, LEX nr 625864). Uchwała rady gminy podjęta w trybie art. 229 pkt 3 k.p.a., która nie stanowi przepisów prawa miejscowego ani nie dotyczy zadań z zakresu administracji publicznej powierzanych gminie na podstawie art. 18 ust. 2 </w:t>
      </w:r>
      <w:proofErr w:type="spellStart"/>
      <w:r w:rsidRPr="00EF554D">
        <w:rPr>
          <w:rFonts w:ascii="Arial" w:hAnsi="Arial" w:cs="Arial"/>
          <w:sz w:val="24"/>
          <w:szCs w:val="24"/>
        </w:rPr>
        <w:t>u.s.g</w:t>
      </w:r>
      <w:proofErr w:type="spellEnd"/>
      <w:r w:rsidRPr="00EF554D">
        <w:rPr>
          <w:rFonts w:ascii="Arial" w:hAnsi="Arial" w:cs="Arial"/>
          <w:sz w:val="24"/>
          <w:szCs w:val="24"/>
        </w:rPr>
        <w:t>. nie może być zaskarżona do sądu administracyjnego (tak postanowienie WSA w Łodzi z 17.12.2008 r., III SA/</w:t>
      </w:r>
      <w:proofErr w:type="spellStart"/>
      <w:r w:rsidRPr="00EF554D">
        <w:rPr>
          <w:rFonts w:ascii="Arial" w:hAnsi="Arial" w:cs="Arial"/>
          <w:sz w:val="24"/>
          <w:szCs w:val="24"/>
        </w:rPr>
        <w:t>Łd</w:t>
      </w:r>
      <w:proofErr w:type="spellEnd"/>
      <w:r w:rsidRPr="00EF554D">
        <w:rPr>
          <w:rFonts w:ascii="Arial" w:hAnsi="Arial" w:cs="Arial"/>
          <w:sz w:val="24"/>
          <w:szCs w:val="24"/>
        </w:rPr>
        <w:t xml:space="preserve"> 606/08, LEX nr 1074352).</w:t>
      </w:r>
    </w:p>
    <w:p w14:paraId="0F9FE3F6" w14:textId="4A0E746A" w:rsidR="00B63824" w:rsidRPr="00EF554D" w:rsidRDefault="009E67E5" w:rsidP="0035101E">
      <w:pPr>
        <w:spacing w:line="276" w:lineRule="auto"/>
        <w:rPr>
          <w:rFonts w:ascii="Arial" w:hAnsi="Arial" w:cs="Arial"/>
          <w:sz w:val="24"/>
          <w:szCs w:val="24"/>
        </w:rPr>
      </w:pPr>
      <w:r w:rsidRPr="00EF554D">
        <w:rPr>
          <w:rFonts w:ascii="Arial" w:hAnsi="Arial" w:cs="Arial"/>
          <w:sz w:val="24"/>
          <w:szCs w:val="24"/>
        </w:rPr>
        <w:t>W świetle powyższego, Komisja Skarg, Wniosków i Petycji zarekomendowała Radzie Miasta podjęcie uchwały w brzmieniu określonym w przedłożonym stanowisku.</w:t>
      </w:r>
      <w:r w:rsidR="0035101E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</w:p>
    <w:p w14:paraId="4CCDD388" w14:textId="77777777" w:rsidR="00B63824" w:rsidRPr="00EF554D" w:rsidRDefault="00B63824" w:rsidP="00EF554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B63824" w:rsidRPr="00EF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C4D15"/>
    <w:rsid w:val="000D0CA9"/>
    <w:rsid w:val="000D31A9"/>
    <w:rsid w:val="000E2D21"/>
    <w:rsid w:val="00110415"/>
    <w:rsid w:val="00116B5D"/>
    <w:rsid w:val="001665BE"/>
    <w:rsid w:val="001C63B8"/>
    <w:rsid w:val="001D771E"/>
    <w:rsid w:val="001F3DDC"/>
    <w:rsid w:val="002203AF"/>
    <w:rsid w:val="00245718"/>
    <w:rsid w:val="00245F1D"/>
    <w:rsid w:val="00250DCE"/>
    <w:rsid w:val="00265CEC"/>
    <w:rsid w:val="002A43D1"/>
    <w:rsid w:val="002B285B"/>
    <w:rsid w:val="002C6E21"/>
    <w:rsid w:val="002E4752"/>
    <w:rsid w:val="00335FD7"/>
    <w:rsid w:val="003434E3"/>
    <w:rsid w:val="0035101E"/>
    <w:rsid w:val="00354252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2185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60A23"/>
    <w:rsid w:val="00564B4E"/>
    <w:rsid w:val="005909E4"/>
    <w:rsid w:val="005C10AA"/>
    <w:rsid w:val="005F5050"/>
    <w:rsid w:val="006231B7"/>
    <w:rsid w:val="006234EC"/>
    <w:rsid w:val="00634161"/>
    <w:rsid w:val="00634459"/>
    <w:rsid w:val="006378C0"/>
    <w:rsid w:val="0067304D"/>
    <w:rsid w:val="006743C5"/>
    <w:rsid w:val="006A0F1D"/>
    <w:rsid w:val="006A5726"/>
    <w:rsid w:val="006F027F"/>
    <w:rsid w:val="00706983"/>
    <w:rsid w:val="00727951"/>
    <w:rsid w:val="00733CD8"/>
    <w:rsid w:val="00746CAA"/>
    <w:rsid w:val="00761803"/>
    <w:rsid w:val="0079594B"/>
    <w:rsid w:val="007D03F7"/>
    <w:rsid w:val="007D488E"/>
    <w:rsid w:val="007E62A7"/>
    <w:rsid w:val="007F12AC"/>
    <w:rsid w:val="007F6E6B"/>
    <w:rsid w:val="008034DC"/>
    <w:rsid w:val="00806EDC"/>
    <w:rsid w:val="00834965"/>
    <w:rsid w:val="00843498"/>
    <w:rsid w:val="008762CA"/>
    <w:rsid w:val="00876914"/>
    <w:rsid w:val="00877185"/>
    <w:rsid w:val="008B0E9B"/>
    <w:rsid w:val="008E5854"/>
    <w:rsid w:val="008F0405"/>
    <w:rsid w:val="008F7935"/>
    <w:rsid w:val="00927BD2"/>
    <w:rsid w:val="00951803"/>
    <w:rsid w:val="009551F4"/>
    <w:rsid w:val="00995B6F"/>
    <w:rsid w:val="009A1B2B"/>
    <w:rsid w:val="009E67E5"/>
    <w:rsid w:val="009F38CA"/>
    <w:rsid w:val="00A243E7"/>
    <w:rsid w:val="00A3667E"/>
    <w:rsid w:val="00A725E3"/>
    <w:rsid w:val="00AB1410"/>
    <w:rsid w:val="00AC17D0"/>
    <w:rsid w:val="00AF076E"/>
    <w:rsid w:val="00B137A5"/>
    <w:rsid w:val="00B21DF5"/>
    <w:rsid w:val="00B24D14"/>
    <w:rsid w:val="00B24EF7"/>
    <w:rsid w:val="00B43C17"/>
    <w:rsid w:val="00B63824"/>
    <w:rsid w:val="00B91F1E"/>
    <w:rsid w:val="00BD06C2"/>
    <w:rsid w:val="00C001C0"/>
    <w:rsid w:val="00C036CC"/>
    <w:rsid w:val="00C07AE4"/>
    <w:rsid w:val="00C2479B"/>
    <w:rsid w:val="00C300AC"/>
    <w:rsid w:val="00C449FE"/>
    <w:rsid w:val="00C457B5"/>
    <w:rsid w:val="00C81BF8"/>
    <w:rsid w:val="00CA2F66"/>
    <w:rsid w:val="00CE0EAB"/>
    <w:rsid w:val="00D14A47"/>
    <w:rsid w:val="00D81A5E"/>
    <w:rsid w:val="00D835FC"/>
    <w:rsid w:val="00DB305B"/>
    <w:rsid w:val="00DE1CB5"/>
    <w:rsid w:val="00E17A2E"/>
    <w:rsid w:val="00E51416"/>
    <w:rsid w:val="00E52541"/>
    <w:rsid w:val="00E90CBA"/>
    <w:rsid w:val="00E934F3"/>
    <w:rsid w:val="00EA013C"/>
    <w:rsid w:val="00EB30C5"/>
    <w:rsid w:val="00EE5F65"/>
    <w:rsid w:val="00EF554D"/>
    <w:rsid w:val="00F05EBC"/>
    <w:rsid w:val="00F6452F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10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XVII/48/2025  RADY MIASTA WŁOCŁAWEK z dnia 29 kwietnia 2025 r.</vt:lpstr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XVII/48/2025  RADY MIASTA WŁOCŁAWEK z dnia 29 kwietnia 2025 r.</dc:title>
  <dc:subject/>
  <dc:creator>Urszula Szubińska</dc:creator>
  <cp:keywords/>
  <dc:description/>
  <cp:lastModifiedBy>Małgorzata Feliniak</cp:lastModifiedBy>
  <cp:revision>3</cp:revision>
  <cp:lastPrinted>2025-04-30T07:49:00Z</cp:lastPrinted>
  <dcterms:created xsi:type="dcterms:W3CDTF">2025-06-06T09:21:00Z</dcterms:created>
  <dcterms:modified xsi:type="dcterms:W3CDTF">2025-06-06T09:23:00Z</dcterms:modified>
</cp:coreProperties>
</file>